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7EB" w14:textId="77777777" w:rsidR="00FB4A7C" w:rsidRPr="00FB4A7C" w:rsidRDefault="00203953" w:rsidP="00FB4A7C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r w:rsidRPr="00FB4A7C"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  <w:t>ΑΝΑΚΟΙΝΩΣΗ</w:t>
      </w:r>
    </w:p>
    <w:p w14:paraId="0FA23E4A" w14:textId="03CDEA03" w:rsidR="00203953" w:rsidRDefault="00203953" w:rsidP="00FB4A7C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AB1BF1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ΠΡΟΦΟΡΙΚΕΣ</w:t>
      </w: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 ΕΞΕΤΑΣΕ</w:t>
      </w:r>
      <w:r w:rsidR="00096E4E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ΙΣ </w:t>
      </w: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ΠΙΣΤΟΠΟΙΗΣΗΣ ΔΙΑΜΕΣΟΛΑΒΗΤΩΝ</w:t>
      </w:r>
      <w:r w:rsidR="00FB4A7C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ΥΠΟΥΡΓΕΙΟΥ ΔΙΚΑΙΟΣΥΝΗΣ </w:t>
      </w:r>
    </w:p>
    <w:p w14:paraId="7BBABB39" w14:textId="74130A7F" w:rsidR="0069168E" w:rsidRDefault="00123CB3" w:rsidP="00FB4A7C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Α</w:t>
      </w:r>
      <w:r w:rsidR="0069168E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’ ΕΞΕΤΑΣΤΙΚΗ ΕΤΟΥΣ 202</w:t>
      </w: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="0069168E"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402F7C9F" w14:textId="77777777" w:rsidR="00EC5AB8" w:rsidRDefault="00EC5AB8" w:rsidP="00FB4A7C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BC2C268" w14:textId="77777777" w:rsidR="00C76BFE" w:rsidRDefault="00EC5AB8" w:rsidP="00C76BFE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</w:pPr>
      <w:r w:rsidRPr="00EC5AB8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 xml:space="preserve">ΛΟΓΩ </w:t>
      </w:r>
      <w:r w:rsidR="00C76BFE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 xml:space="preserve">ΤΩΝ ΒΟΥΛΕΥΤΙΚΩΝ ΕΚΛΟΓΩΝ </w:t>
      </w:r>
      <w:r w:rsidR="00FA4FF7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>,</w:t>
      </w:r>
      <w:r w:rsidRPr="00EC5AB8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 xml:space="preserve"> ΟΙ </w:t>
      </w:r>
      <w:r w:rsidR="00C76BFE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>ΠΡΟΦΟΡΙΚ</w:t>
      </w:r>
      <w:r w:rsidRPr="00EC5AB8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 xml:space="preserve">ΕΣ ΕΞΕΤΑΣΕΙΣ ΠΙΣΤΟΠΟΙΗΣΗΣ ΔΙΑΜΕΣΟΛΑΒΗΤΩΝ ΜΕΤΑΦΕΡΟΝΤΑΙ </w:t>
      </w:r>
    </w:p>
    <w:p w14:paraId="491540F3" w14:textId="38E607B7" w:rsidR="00FB4A7C" w:rsidRPr="00EC5AB8" w:rsidRDefault="00EC5AB8" w:rsidP="00C76BFE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</w:pPr>
      <w:r w:rsidRPr="00EC5AB8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>ΓΙΑ Τ</w:t>
      </w:r>
      <w:r w:rsidR="00C76BFE">
        <w:rPr>
          <w:rStyle w:val="a3"/>
          <w:rFonts w:asciiTheme="minorHAnsi" w:hAnsiTheme="minorHAnsi" w:cstheme="minorHAnsi"/>
          <w:color w:val="FF0000"/>
          <w:bdr w:val="none" w:sz="0" w:space="0" w:color="auto" w:frame="1"/>
        </w:rPr>
        <w:t>ΗΝ ΠΑΡΑΣΚΕΥΗ 16 &amp; ΤΟ ΣΑΒΒΑΤΟ 17 ΙΟΥΝΙΟΥ 2023</w:t>
      </w:r>
    </w:p>
    <w:p w14:paraId="0F7AFA3E" w14:textId="77777777" w:rsidR="00EC5AB8" w:rsidRDefault="00EC5AB8" w:rsidP="00FB4A7C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B2D43A1" w14:textId="59BF004A" w:rsidR="00203953" w:rsidRDefault="00203953" w:rsidP="00FB4A7C">
      <w:pPr>
        <w:pStyle w:val="p3"/>
        <w:spacing w:before="0" w:beforeAutospacing="0" w:after="0" w:afterAutospacing="0" w:line="276" w:lineRule="auto"/>
        <w:ind w:left="-142" w:right="-99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ΑΙΘΟΥΣΑ ΤΕΛΕΤΩΝ ΕΦΕΤΕΙΟΥ ΑΘΗΝΩΝ (Κυρ. Λουκάρεως 14)</w:t>
      </w:r>
    </w:p>
    <w:p w14:paraId="171632EF" w14:textId="77777777" w:rsidR="00203953" w:rsidRDefault="00203953" w:rsidP="00123CB3">
      <w:pPr>
        <w:pStyle w:val="p3"/>
        <w:spacing w:before="0" w:beforeAutospacing="0" w:after="0" w:afterAutospacing="0" w:line="276" w:lineRule="auto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B8A5AB8" w14:textId="3CC02AD7" w:rsidR="00C76BFE" w:rsidRPr="00D90557" w:rsidRDefault="00C76BFE" w:rsidP="00C76BFE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0557">
        <w:rPr>
          <w:rFonts w:asciiTheme="minorHAnsi" w:hAnsiTheme="minorHAnsi" w:cstheme="minorHAnsi"/>
          <w:color w:val="000000"/>
        </w:rPr>
        <w:t xml:space="preserve">Η Επιτροπή Εξετάσεων της Κεντρικής Επιτροπής Διαμεσολάβησης του Υπουργείου Δικαιοσύνης, σε εφαρμογή του άρθρου 28 παρ.2Β.ε. του ν. 4640/2019, μετά την ολοκλήρωση των γραπτών εξετάσεων, ανακοινώνει ότι οι προφορικές εξετάσεις θα διεξαχθούν </w:t>
      </w:r>
      <w:r>
        <w:rPr>
          <w:rFonts w:asciiTheme="minorHAnsi" w:hAnsiTheme="minorHAnsi" w:cstheme="minorHAnsi"/>
          <w:color w:val="000000"/>
        </w:rPr>
        <w:t xml:space="preserve"> την Παρασκευή 16 Ιουνίου 2023</w:t>
      </w:r>
      <w:r w:rsidRPr="00D9055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ώρα έναρξης 16.00 και το Σάββατο 17 Ιουνίου, ώρα έναρξης 12.00 </w:t>
      </w:r>
      <w:r w:rsidRPr="00D90557">
        <w:rPr>
          <w:rFonts w:asciiTheme="minorHAnsi" w:hAnsiTheme="minorHAnsi" w:cstheme="minorHAnsi"/>
          <w:color w:val="000000"/>
        </w:rPr>
        <w:t>στο Εφετείο Αθηνών, επί της οδού Κυρίλλου Λουκάρεως 14. </w:t>
      </w:r>
    </w:p>
    <w:p w14:paraId="25C70EA6" w14:textId="27CECD86" w:rsidR="00C76BFE" w:rsidRDefault="00C76BFE" w:rsidP="00C76BFE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0557">
        <w:rPr>
          <w:rFonts w:asciiTheme="minorHAnsi" w:hAnsiTheme="minorHAnsi" w:cstheme="minorHAnsi"/>
          <w:color w:val="000000"/>
        </w:rPr>
        <w:t>Η Εξέταση θα πραγματοποιείται σε τμήματα των 10</w:t>
      </w:r>
      <w:r w:rsidR="00625260">
        <w:rPr>
          <w:rFonts w:asciiTheme="minorHAnsi" w:hAnsiTheme="minorHAnsi" w:cstheme="minorHAnsi"/>
          <w:color w:val="000000"/>
        </w:rPr>
        <w:t xml:space="preserve"> – 11 </w:t>
      </w:r>
      <w:r w:rsidRPr="00D90557">
        <w:rPr>
          <w:rFonts w:asciiTheme="minorHAnsi" w:hAnsiTheme="minorHAnsi" w:cstheme="minorHAnsi"/>
          <w:color w:val="000000"/>
        </w:rPr>
        <w:t>ατόμων.</w:t>
      </w:r>
    </w:p>
    <w:p w14:paraId="6089CCEC" w14:textId="77777777" w:rsidR="00C76BFE" w:rsidRPr="00D90557" w:rsidRDefault="00C76BFE" w:rsidP="00C76BFE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218752AD" w14:textId="77777777" w:rsidR="00C76BFE" w:rsidRPr="00013D30" w:rsidRDefault="00C76BFE" w:rsidP="00C76BFE">
      <w:pPr>
        <w:pStyle w:val="Web"/>
        <w:spacing w:before="0" w:beforeAutospacing="0" w:after="8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0557">
        <w:rPr>
          <w:rFonts w:asciiTheme="minorHAnsi" w:hAnsiTheme="minorHAnsi" w:cstheme="minorHAnsi"/>
          <w:color w:val="000000"/>
        </w:rPr>
        <w:t> </w:t>
      </w:r>
      <w:r w:rsidRPr="00D90557"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  <w:t>ΠΡΟΓΡΑΜΜΑ</w:t>
      </w:r>
    </w:p>
    <w:p w14:paraId="103C1E58" w14:textId="77777777" w:rsidR="00073B1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>ΠΑΡΑΣΚΕΥΗ 16 ΙΟΥΝΙΟΥ 2023</w:t>
      </w:r>
    </w:p>
    <w:p w14:paraId="4F964605" w14:textId="4656EFD8" w:rsidR="00625260" w:rsidRPr="00073B1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16.00 – 17.00 ΕΞΕΤΑΣΗ Α’ ΤΜΗΜΑΤΟΣ </w:t>
      </w:r>
    </w:p>
    <w:p w14:paraId="1299FB80" w14:textId="47F1C723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Δ2 ΑΓΡ. – ΒΑΙ</w:t>
      </w:r>
      <w:r w:rsidR="008923F0">
        <w:rPr>
          <w:rFonts w:asciiTheme="minorHAnsi" w:hAnsiTheme="minorHAnsi" w:cstheme="minorHAnsi"/>
          <w:b/>
          <w:bCs/>
        </w:rPr>
        <w:t>.</w:t>
      </w:r>
    </w:p>
    <w:p w14:paraId="1044649C" w14:textId="6C31A773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Δ3 ΒΑΡΒ</w:t>
      </w:r>
      <w:r w:rsidR="008923F0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– ΓΙΑΚ.</w:t>
      </w:r>
    </w:p>
    <w:p w14:paraId="28E5242F" w14:textId="200CE995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Δ4 ΓΙΑΝ. – ΔΗΜ.</w:t>
      </w:r>
    </w:p>
    <w:p w14:paraId="3523500E" w14:textId="3BF449DB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17.</w:t>
      </w:r>
      <w:r w:rsidR="00073B10">
        <w:rPr>
          <w:rFonts w:asciiTheme="minorHAnsi" w:hAnsiTheme="minorHAnsi" w:cstheme="minorHAnsi"/>
          <w:b/>
          <w:bCs/>
          <w:color w:val="4472C4" w:themeColor="accent1"/>
        </w:rPr>
        <w:t>15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– 18.</w:t>
      </w:r>
      <w:r w:rsidR="00073B10">
        <w:rPr>
          <w:rFonts w:asciiTheme="minorHAnsi" w:hAnsiTheme="minorHAnsi" w:cstheme="minorHAnsi"/>
          <w:b/>
          <w:bCs/>
          <w:color w:val="4472C4" w:themeColor="accent1"/>
        </w:rPr>
        <w:t>15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ΕΞΕΤΑΣΗ Β</w:t>
      </w:r>
      <w:r w:rsidR="00CF669C">
        <w:rPr>
          <w:rFonts w:asciiTheme="minorHAnsi" w:hAnsiTheme="minorHAnsi" w:cstheme="minorHAnsi"/>
          <w:b/>
          <w:bCs/>
          <w:color w:val="4472C4" w:themeColor="accent1"/>
        </w:rPr>
        <w:t>’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ΤΜΗΜΑΤΟΣ </w:t>
      </w:r>
    </w:p>
    <w:p w14:paraId="4E3E4A9A" w14:textId="20A685DC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Δ2 ΔΙΠ. – ΘΕΟΔΟ.</w:t>
      </w:r>
    </w:p>
    <w:p w14:paraId="12ADE814" w14:textId="605BFCBC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Δ3 ΘΕΟΔΩ. – ΚΑΠΕΤΑΝΑΚΗ</w:t>
      </w:r>
    </w:p>
    <w:p w14:paraId="254778B5" w14:textId="23757268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Δ4 ΚΑΠΕΤΑΝΙΔΟΥ – ΚΑΤΣΗ (ΕΠΙΠΛΕΟΝ κ.κ. ΚΟΒΑΣ, ΡΟΥΜΕΛΙΩΤΗ, ΤΣΟΥΛΦΙΔΟΥ)</w:t>
      </w:r>
    </w:p>
    <w:p w14:paraId="0D5A1A0A" w14:textId="77777777" w:rsidR="00073B1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</w:p>
    <w:p w14:paraId="0B9E9A4B" w14:textId="023A3043" w:rsidR="00625260" w:rsidRPr="00073B1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>ΣΑΒΒΑΤΟ 17 ΙΟΥΝΙΟΥ 2023</w:t>
      </w:r>
    </w:p>
    <w:p w14:paraId="4AD11B45" w14:textId="3DF099C1" w:rsidR="00CF669C" w:rsidRPr="00073B10" w:rsidRDefault="00CF669C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12.00 – 13.00 ΕΞΕΤΑΣΗ Γ’ ΤΜΗΜΑΤΟΣ </w:t>
      </w:r>
    </w:p>
    <w:p w14:paraId="467064A6" w14:textId="37CCE680" w:rsidR="00625260" w:rsidRDefault="0062526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ΑΙΘ. Δ2 ΚΛΑΔ. </w:t>
      </w:r>
      <w:r w:rsidR="00CF669C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CF669C">
        <w:rPr>
          <w:rFonts w:asciiTheme="minorHAnsi" w:hAnsiTheme="minorHAnsi" w:cstheme="minorHAnsi"/>
          <w:b/>
          <w:bCs/>
        </w:rPr>
        <w:t>ΚΟΥΤΣΗΣ</w:t>
      </w:r>
    </w:p>
    <w:p w14:paraId="67842ECD" w14:textId="26217870" w:rsidR="00CF669C" w:rsidRDefault="00CF669C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Δ3 ΚΟΥΤΣΟΥΜΠ. – ΜΑΓΚΛ.</w:t>
      </w:r>
    </w:p>
    <w:p w14:paraId="765050D7" w14:textId="54A59EBE" w:rsidR="00073B10" w:rsidRDefault="00CF669C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Δ4 ΜΑΛ. – ΜΟΥΣΤ. (ΕΠΙΠΛΕΟΝ κ.κ. ΒΛΑΣΑΚΙΔΟΥ ΑΙΚ. &amp; ΕΛ.)</w:t>
      </w:r>
    </w:p>
    <w:p w14:paraId="38BE2B73" w14:textId="77777777" w:rsidR="00073B10" w:rsidRPr="00073B1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</w:p>
    <w:p w14:paraId="75B48335" w14:textId="28D7E901" w:rsidR="00CF669C" w:rsidRPr="00CF669C" w:rsidRDefault="00CF669C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CF669C">
        <w:rPr>
          <w:rFonts w:asciiTheme="minorHAnsi" w:hAnsiTheme="minorHAnsi" w:cstheme="minorHAnsi"/>
          <w:b/>
          <w:bCs/>
          <w:color w:val="4472C4" w:themeColor="accent1"/>
          <w:u w:val="single"/>
        </w:rPr>
        <w:lastRenderedPageBreak/>
        <w:t>13.</w:t>
      </w:r>
      <w:r w:rsid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>15</w:t>
      </w:r>
      <w:r w:rsidRPr="00CF669C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– 14.</w:t>
      </w:r>
      <w:r w:rsid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>15</w:t>
      </w:r>
      <w:r w:rsidRPr="00CF669C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ΕΞΕΤΑΣΗ Δ’ ΤΜΗΜΑΤΟΣ </w:t>
      </w:r>
    </w:p>
    <w:p w14:paraId="7832D38E" w14:textId="448D32C7" w:rsidR="0062526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ΑΙΘ. </w:t>
      </w:r>
      <w:r w:rsidR="00CF669C">
        <w:rPr>
          <w:rFonts w:asciiTheme="minorHAnsi" w:hAnsiTheme="minorHAnsi" w:cstheme="minorHAnsi"/>
          <w:b/>
          <w:bCs/>
        </w:rPr>
        <w:t>Δ2 ΜΠΑΜΠ. – ΠΑΓ.</w:t>
      </w:r>
    </w:p>
    <w:p w14:paraId="60D85857" w14:textId="0A837E18" w:rsidR="00CF669C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ΑΙΘ. </w:t>
      </w:r>
      <w:r w:rsidR="00CF669C">
        <w:rPr>
          <w:rFonts w:asciiTheme="minorHAnsi" w:hAnsiTheme="minorHAnsi" w:cstheme="minorHAnsi"/>
          <w:b/>
          <w:bCs/>
        </w:rPr>
        <w:t>Δ3</w:t>
      </w:r>
      <w:r>
        <w:rPr>
          <w:rFonts w:asciiTheme="minorHAnsi" w:hAnsiTheme="minorHAnsi" w:cstheme="minorHAnsi"/>
          <w:b/>
          <w:bCs/>
        </w:rPr>
        <w:t xml:space="preserve"> </w:t>
      </w:r>
      <w:r w:rsidR="00CF669C">
        <w:rPr>
          <w:rFonts w:asciiTheme="minorHAnsi" w:hAnsiTheme="minorHAnsi" w:cstheme="minorHAnsi"/>
          <w:b/>
          <w:bCs/>
        </w:rPr>
        <w:t xml:space="preserve"> ΠΑΝ. – ΠΕΤΡ.</w:t>
      </w:r>
    </w:p>
    <w:p w14:paraId="57BA68BA" w14:textId="16660D3F" w:rsidR="00CF669C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ΑΙΘ. </w:t>
      </w:r>
      <w:r w:rsidR="00CF669C">
        <w:rPr>
          <w:rFonts w:asciiTheme="minorHAnsi" w:hAnsiTheme="minorHAnsi" w:cstheme="minorHAnsi"/>
          <w:b/>
          <w:bCs/>
        </w:rPr>
        <w:t>Δ4 ΠΡΟΔ</w:t>
      </w:r>
      <w:r>
        <w:rPr>
          <w:rFonts w:asciiTheme="minorHAnsi" w:hAnsiTheme="minorHAnsi" w:cstheme="minorHAnsi"/>
          <w:b/>
          <w:bCs/>
        </w:rPr>
        <w:t>Ρ</w:t>
      </w:r>
      <w:r w:rsidR="00CF669C">
        <w:rPr>
          <w:rFonts w:asciiTheme="minorHAnsi" w:hAnsiTheme="minorHAnsi" w:cstheme="minorHAnsi"/>
          <w:b/>
          <w:bCs/>
        </w:rPr>
        <w:t>. – ΣΚΟΡΔ.</w:t>
      </w:r>
    </w:p>
    <w:p w14:paraId="0A2C3B8F" w14:textId="7437253C" w:rsidR="00073B10" w:rsidRPr="00073B1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>14.30</w:t>
      </w:r>
      <w:r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–</w:t>
      </w:r>
      <w:r w:rsidRPr="00073B10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15.30 ΕΞΕΤΑΣΗ Ε’ ΤΜΗΜΑΤΟΣ</w:t>
      </w:r>
    </w:p>
    <w:p w14:paraId="0AAE1DB1" w14:textId="54B5B5BD" w:rsidR="00073B1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Δ2 ΣΚΟΥΡ. – ΣΤΟΥΡΝ.</w:t>
      </w:r>
    </w:p>
    <w:p w14:paraId="09C6FE7A" w14:textId="05BF129B" w:rsidR="00073B1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Δ3 ΣΤΥΛ. – ΦΑΝΟΥΡ.</w:t>
      </w:r>
    </w:p>
    <w:p w14:paraId="29B377B9" w14:textId="2D1A691F" w:rsidR="00073B10" w:rsidRPr="00625260" w:rsidRDefault="00073B10" w:rsidP="00073B10">
      <w:pPr>
        <w:pStyle w:val="p1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ΑΙΘ. Δ4 ΦΑΝΤ. – ΧΡΙΣΤ.</w:t>
      </w:r>
    </w:p>
    <w:sectPr w:rsidR="00073B10" w:rsidRPr="00625260" w:rsidSect="0020395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3"/>
    <w:rsid w:val="00073B10"/>
    <w:rsid w:val="00096E4E"/>
    <w:rsid w:val="00117A43"/>
    <w:rsid w:val="00123CB3"/>
    <w:rsid w:val="00203953"/>
    <w:rsid w:val="005271DD"/>
    <w:rsid w:val="00625260"/>
    <w:rsid w:val="0069168E"/>
    <w:rsid w:val="00780E72"/>
    <w:rsid w:val="007B2B73"/>
    <w:rsid w:val="008923F0"/>
    <w:rsid w:val="0090481B"/>
    <w:rsid w:val="00A40647"/>
    <w:rsid w:val="00AB1BF1"/>
    <w:rsid w:val="00C76BFE"/>
    <w:rsid w:val="00CF669C"/>
    <w:rsid w:val="00E90680"/>
    <w:rsid w:val="00EC5AB8"/>
    <w:rsid w:val="00FA4FF7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619"/>
  <w15:chartTrackingRefBased/>
  <w15:docId w15:val="{27817CA5-4202-4C44-9013-65B8A8EC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03953"/>
    <w:rPr>
      <w:b/>
      <w:bCs/>
    </w:rPr>
  </w:style>
  <w:style w:type="paragraph" w:customStyle="1" w:styleId="p4">
    <w:name w:val="p4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5">
    <w:name w:val="p5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2">
    <w:name w:val="p2"/>
    <w:basedOn w:val="a"/>
    <w:rsid w:val="00FB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7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MAROU</dc:creator>
  <cp:keywords/>
  <dc:description/>
  <cp:lastModifiedBy>dsthe3</cp:lastModifiedBy>
  <cp:revision>6</cp:revision>
  <cp:lastPrinted>2023-06-12T08:14:00Z</cp:lastPrinted>
  <dcterms:created xsi:type="dcterms:W3CDTF">2023-06-02T10:28:00Z</dcterms:created>
  <dcterms:modified xsi:type="dcterms:W3CDTF">2023-06-12T08:23:00Z</dcterms:modified>
</cp:coreProperties>
</file>